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52891" w14:textId="7838A27A" w:rsidR="00EE0739" w:rsidRPr="00A80D3B" w:rsidRDefault="00C40295" w:rsidP="00EE073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E0739" w:rsidRPr="00A80D3B">
        <w:rPr>
          <w:rFonts w:ascii="Arial" w:hAnsi="Arial" w:cs="Arial"/>
          <w:b/>
          <w:bCs/>
          <w:sz w:val="28"/>
        </w:rPr>
        <w:t>3GPP TSG RAN WG1 #1</w:t>
      </w:r>
      <w:r w:rsidR="00EE0739">
        <w:rPr>
          <w:rFonts w:ascii="Arial" w:hAnsi="Arial" w:cs="Arial"/>
          <w:b/>
          <w:bCs/>
          <w:sz w:val="28"/>
        </w:rPr>
        <w:t>10</w:t>
      </w:r>
      <w:r w:rsidR="00EE0739">
        <w:rPr>
          <w:rFonts w:ascii="Arial" w:hAnsi="Arial" w:cs="Arial"/>
          <w:b/>
          <w:bCs/>
          <w:sz w:val="28"/>
        </w:rPr>
        <w:tab/>
      </w:r>
      <w:r w:rsidR="00EE0739">
        <w:rPr>
          <w:rFonts w:ascii="Arial" w:hAnsi="Arial" w:cs="Arial"/>
          <w:b/>
          <w:bCs/>
          <w:sz w:val="28"/>
        </w:rPr>
        <w:tab/>
      </w:r>
      <w:r w:rsidR="00DA4669" w:rsidRPr="00DA4669">
        <w:rPr>
          <w:rFonts w:ascii="Arial" w:hAnsi="Arial" w:cs="Arial"/>
          <w:b/>
          <w:bCs/>
          <w:sz w:val="28"/>
        </w:rPr>
        <w:t>R1-2205972</w:t>
      </w:r>
    </w:p>
    <w:p w14:paraId="5D31FCBE" w14:textId="77777777" w:rsidR="00EE0739" w:rsidRPr="00DA4669" w:rsidRDefault="00EE0739" w:rsidP="00EE0739">
      <w:pPr>
        <w:tabs>
          <w:tab w:val="center" w:pos="4536"/>
          <w:tab w:val="right" w:pos="9072"/>
        </w:tabs>
        <w:rPr>
          <w:rFonts w:ascii="Arial" w:hAnsi="Arial" w:cs="Arial"/>
          <w:b/>
          <w:bCs/>
          <w:sz w:val="28"/>
        </w:rPr>
      </w:pPr>
      <w:r w:rsidRPr="00DA4669">
        <w:rPr>
          <w:rFonts w:ascii="Arial" w:hAnsi="Arial" w:cs="Arial"/>
          <w:b/>
          <w:bCs/>
          <w:sz w:val="28"/>
        </w:rPr>
        <w:t>Toulouse, France, August 22nd – 26th, 2022</w:t>
      </w:r>
    </w:p>
    <w:p w14:paraId="54A3A379" w14:textId="72B873F3" w:rsidR="00EA7B6F" w:rsidRPr="00DC313B" w:rsidRDefault="00EA7B6F" w:rsidP="00EE0739">
      <w:pPr>
        <w:tabs>
          <w:tab w:val="center" w:pos="4536"/>
          <w:tab w:val="right" w:pos="7938"/>
          <w:tab w:val="right" w:pos="9639"/>
        </w:tabs>
        <w:ind w:right="2"/>
        <w:rPr>
          <w:rFonts w:eastAsia="MS PGothic"/>
          <w:b/>
          <w:lang w:eastAsia="zh-CN"/>
        </w:rPr>
      </w:pPr>
      <w:r w:rsidRPr="00DC313B">
        <w:rPr>
          <w:b/>
        </w:rPr>
        <w:t>Agenda Item</w:t>
      </w:r>
      <w:bookmarkEnd w:id="0"/>
      <w:r w:rsidR="003170D0">
        <w:rPr>
          <w:b/>
        </w:rPr>
        <w:t xml:space="preserve">:     </w:t>
      </w:r>
      <w:r w:rsidR="00796DC5">
        <w:rPr>
          <w:b/>
        </w:rPr>
        <w:t>5</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8D61436" w:rsidR="00EA7B6F" w:rsidRPr="005941D4" w:rsidRDefault="00EA7B6F" w:rsidP="00796DC5">
      <w:pPr>
        <w:spacing w:beforeLines="50" w:before="120"/>
        <w:ind w:left="1215" w:hangingChars="550" w:hanging="1215"/>
        <w:jc w:val="left"/>
        <w:rPr>
          <w:rFonts w:ascii="Segoe UI" w:hAnsi="Segoe UI" w:cs="Segoe UI"/>
          <w:sz w:val="18"/>
          <w:szCs w:val="18"/>
          <w:lang w:eastAsia="zh-CN"/>
        </w:rPr>
      </w:pPr>
      <w:r w:rsidRPr="00447E0C">
        <w:rPr>
          <w:b/>
        </w:rPr>
        <w:t>Title:</w:t>
      </w:r>
      <w:r w:rsidRPr="00447E0C">
        <w:rPr>
          <w:b/>
        </w:rPr>
        <w:tab/>
      </w:r>
      <w:r w:rsidR="00627A35">
        <w:rPr>
          <w:b/>
        </w:rPr>
        <w:t xml:space="preserve">      </w:t>
      </w:r>
      <w:r w:rsidR="005941D4" w:rsidRPr="005941D4">
        <w:rPr>
          <w:b/>
        </w:rPr>
        <w:t>Discussio</w:t>
      </w:r>
      <w:r w:rsidR="005941D4" w:rsidRPr="005941D4">
        <w:rPr>
          <w:b/>
          <w:lang w:eastAsia="zh-CN"/>
        </w:rPr>
        <w:t xml:space="preserve">n </w:t>
      </w:r>
      <w:r w:rsidR="00AB13A6" w:rsidRPr="00AB13A6">
        <w:rPr>
          <w:b/>
          <w:lang w:eastAsia="zh-CN"/>
        </w:rPr>
        <w:t xml:space="preserve">on </w:t>
      </w:r>
      <w:r w:rsidR="00C46F8B">
        <w:rPr>
          <w:b/>
          <w:lang w:eastAsia="zh-CN"/>
        </w:rPr>
        <w:t xml:space="preserve">LS </w:t>
      </w:r>
      <w:r w:rsidR="00C46F8B">
        <w:rPr>
          <w:rFonts w:hint="eastAsia"/>
          <w:b/>
          <w:lang w:eastAsia="zh-CN"/>
        </w:rPr>
        <w:t>o</w:t>
      </w:r>
      <w:r w:rsidR="00C46F8B">
        <w:rPr>
          <w:b/>
          <w:lang w:eastAsia="zh-CN"/>
        </w:rPr>
        <w:t xml:space="preserve">n </w:t>
      </w:r>
      <w:r w:rsidR="00EE0739" w:rsidRPr="00EE0739">
        <w:rPr>
          <w:b/>
          <w:lang w:eastAsia="zh-CN"/>
        </w:rPr>
        <w:t>MBS SPS configuration on Scell</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4E8FA987" w14:textId="6EC24F5A" w:rsidR="00796DC5" w:rsidRDefault="00796DC5" w:rsidP="00796DC5">
      <w:pPr>
        <w:rPr>
          <w:rFonts w:cs="Arial"/>
        </w:rPr>
      </w:pPr>
      <w:r>
        <w:rPr>
          <w:rFonts w:hint="eastAsia"/>
          <w:lang w:eastAsia="zh-CN"/>
        </w:rPr>
        <w:t>RA</w:t>
      </w:r>
      <w:r>
        <w:rPr>
          <w:lang w:eastAsia="zh-CN"/>
        </w:rPr>
        <w:t xml:space="preserve">N2 has sent RAN1 one </w:t>
      </w:r>
      <w:r>
        <w:rPr>
          <w:rFonts w:cs="Arial"/>
        </w:rPr>
        <w:t xml:space="preserve">LS on </w:t>
      </w:r>
      <w:r w:rsidR="003B7FE4" w:rsidRPr="003B7FE4">
        <w:rPr>
          <w:rFonts w:cs="Arial"/>
        </w:rPr>
        <w:t>MBS SPS configuration on Scell</w:t>
      </w:r>
      <w:r w:rsidR="00AB13A6">
        <w:rPr>
          <w:rFonts w:cs="Arial"/>
        </w:rPr>
        <w:t xml:space="preserve"> </w:t>
      </w:r>
      <w:r>
        <w:rPr>
          <w:rFonts w:cs="Arial"/>
        </w:rPr>
        <w:t>[</w:t>
      </w:r>
      <w:r w:rsidR="00985415">
        <w:rPr>
          <w:rFonts w:cs="Arial"/>
        </w:rPr>
        <w:t>1</w:t>
      </w:r>
      <w:r>
        <w:rPr>
          <w:rFonts w:cs="Arial"/>
        </w:rPr>
        <w:t>]. For reference, the overall description is repeated below:</w:t>
      </w:r>
    </w:p>
    <w:tbl>
      <w:tblPr>
        <w:tblStyle w:val="ae"/>
        <w:tblW w:w="0" w:type="auto"/>
        <w:tblLook w:val="04A0" w:firstRow="1" w:lastRow="0" w:firstColumn="1" w:lastColumn="0" w:noHBand="0" w:noVBand="1"/>
      </w:tblPr>
      <w:tblGrid>
        <w:gridCol w:w="9307"/>
      </w:tblGrid>
      <w:tr w:rsidR="00796DC5" w:rsidRPr="00796DC5" w14:paraId="1A5F9011" w14:textId="77777777" w:rsidTr="00796DC5">
        <w:tc>
          <w:tcPr>
            <w:tcW w:w="9307" w:type="dxa"/>
          </w:tcPr>
          <w:p w14:paraId="6D3D160B" w14:textId="77777777" w:rsidR="00AB13A6" w:rsidRPr="000F4E43" w:rsidRDefault="00AB13A6" w:rsidP="00AB13A6">
            <w:pPr>
              <w:rPr>
                <w:rFonts w:ascii="Arial" w:hAnsi="Arial" w:cs="Arial"/>
                <w:b/>
              </w:rPr>
            </w:pPr>
            <w:r w:rsidRPr="000F4E43">
              <w:rPr>
                <w:rFonts w:ascii="Arial" w:hAnsi="Arial" w:cs="Arial"/>
                <w:b/>
              </w:rPr>
              <w:t>1. Overall Description:</w:t>
            </w:r>
          </w:p>
          <w:p w14:paraId="221DBAB5" w14:textId="77777777" w:rsidR="003B7FE4" w:rsidRPr="00151BB8" w:rsidRDefault="003B7FE4" w:rsidP="003B7FE4">
            <w:pPr>
              <w:rPr>
                <w:rFonts w:ascii="Arial" w:hAnsi="Arial" w:cs="Arial"/>
                <w:sz w:val="20"/>
              </w:rPr>
            </w:pPr>
            <w:r w:rsidRPr="00151BB8">
              <w:rPr>
                <w:rFonts w:ascii="Arial" w:hAnsi="Arial" w:cs="Arial" w:hint="eastAsia"/>
                <w:sz w:val="20"/>
              </w:rPr>
              <w:t>R</w:t>
            </w:r>
            <w:r w:rsidRPr="00151BB8">
              <w:rPr>
                <w:rFonts w:ascii="Arial" w:hAnsi="Arial" w:cs="Arial"/>
                <w:sz w:val="20"/>
              </w:rPr>
              <w:t>AN1 agreed that the group common PDCCH/PDSCH with CRC scrambled with G-RNTI on SCell is supported [R1-2202928]</w:t>
            </w:r>
            <w:r>
              <w:rPr>
                <w:rFonts w:ascii="Arial" w:hAnsi="Arial" w:cs="Arial"/>
                <w:sz w:val="20"/>
              </w:rPr>
              <w:t>, i.e. FG 33-2h</w:t>
            </w:r>
            <w:r w:rsidRPr="00151BB8">
              <w:rPr>
                <w:rFonts w:ascii="Arial" w:hAnsi="Arial" w:cs="Arial"/>
                <w:sz w:val="20"/>
              </w:rPr>
              <w:t>. So, the multicast data reception</w:t>
            </w:r>
            <w:r>
              <w:rPr>
                <w:rFonts w:ascii="Arial" w:hAnsi="Arial" w:cs="Arial"/>
                <w:sz w:val="20"/>
              </w:rPr>
              <w:t xml:space="preserve"> via dynamic scheduling</w:t>
            </w:r>
            <w:r w:rsidRPr="00151BB8">
              <w:rPr>
                <w:rFonts w:ascii="Arial" w:hAnsi="Arial" w:cs="Arial"/>
                <w:sz w:val="20"/>
              </w:rPr>
              <w:t xml:space="preserve"> can be configured on one SCell or PCell.</w:t>
            </w:r>
          </w:p>
          <w:p w14:paraId="69907B55" w14:textId="77777777" w:rsidR="003B7FE4" w:rsidRDefault="003B7FE4" w:rsidP="003B7FE4">
            <w:pPr>
              <w:rPr>
                <w:rFonts w:ascii="Arial" w:hAnsi="Arial" w:cs="Arial"/>
                <w:sz w:val="20"/>
              </w:rPr>
            </w:pPr>
            <w:r>
              <w:rPr>
                <w:rFonts w:ascii="Arial" w:hAnsi="Arial" w:cs="Arial" w:hint="eastAsia"/>
                <w:sz w:val="20"/>
              </w:rPr>
              <w:t>R</w:t>
            </w:r>
            <w:r>
              <w:rPr>
                <w:rFonts w:ascii="Arial" w:hAnsi="Arial" w:cs="Arial"/>
                <w:sz w:val="20"/>
              </w:rPr>
              <w:t xml:space="preserve">AN2 agreed that </w:t>
            </w:r>
            <w:r w:rsidRPr="0010314D">
              <w:rPr>
                <w:rFonts w:ascii="Arial" w:hAnsi="Arial" w:cs="Arial"/>
                <w:sz w:val="20"/>
              </w:rPr>
              <w:t>MBS SPS for Multicast can be configured on one SCell or PCell</w:t>
            </w:r>
            <w:r>
              <w:rPr>
                <w:rFonts w:ascii="Arial" w:hAnsi="Arial" w:cs="Arial"/>
                <w:sz w:val="20"/>
              </w:rPr>
              <w:t>.</w:t>
            </w:r>
          </w:p>
          <w:p w14:paraId="401164B3" w14:textId="77777777" w:rsidR="00AB13A6" w:rsidRPr="000F4E43" w:rsidRDefault="00AB13A6" w:rsidP="00AB13A6">
            <w:pPr>
              <w:rPr>
                <w:rFonts w:ascii="Arial" w:hAnsi="Arial" w:cs="Arial"/>
                <w:b/>
                <w:lang w:eastAsia="zh-CN"/>
              </w:rPr>
            </w:pPr>
            <w:r w:rsidRPr="000F4E43">
              <w:rPr>
                <w:rFonts w:ascii="Arial" w:hAnsi="Arial" w:cs="Arial"/>
                <w:b/>
              </w:rPr>
              <w:t>2. Actions:</w:t>
            </w:r>
          </w:p>
          <w:p w14:paraId="5829DEB8" w14:textId="77777777" w:rsidR="003B7FE4" w:rsidRDefault="003B7FE4" w:rsidP="003B7FE4">
            <w:pPr>
              <w:ind w:left="1985" w:hanging="1985"/>
              <w:jc w:val="left"/>
              <w:rPr>
                <w:rFonts w:ascii="Arial" w:eastAsia="等线" w:hAnsi="Arial" w:cs="Arial"/>
                <w:b/>
                <w:sz w:val="20"/>
                <w:lang w:eastAsia="en-GB"/>
              </w:rPr>
            </w:pPr>
            <w:r>
              <w:rPr>
                <w:rFonts w:ascii="Arial" w:eastAsia="等线" w:hAnsi="Arial" w:cs="Arial"/>
                <w:b/>
                <w:sz w:val="20"/>
                <w:lang w:eastAsia="en-GB"/>
              </w:rPr>
              <w:t xml:space="preserve">To </w:t>
            </w:r>
            <w:r>
              <w:rPr>
                <w:rFonts w:ascii="Arial" w:eastAsia="等线" w:hAnsi="Arial" w:cs="Arial" w:hint="eastAsia"/>
                <w:b/>
                <w:sz w:val="20"/>
              </w:rPr>
              <w:t>RAN1</w:t>
            </w:r>
            <w:r>
              <w:rPr>
                <w:rFonts w:ascii="Arial" w:eastAsia="等线" w:hAnsi="Arial" w:cs="Arial"/>
                <w:b/>
                <w:sz w:val="20"/>
                <w:lang w:eastAsia="en-GB"/>
              </w:rPr>
              <w:t>:</w:t>
            </w:r>
          </w:p>
          <w:p w14:paraId="39E4D22B" w14:textId="2195F490" w:rsidR="00AB13A6" w:rsidRPr="003B7FE4" w:rsidRDefault="003B7FE4" w:rsidP="003B7FE4">
            <w:pPr>
              <w:jc w:val="left"/>
              <w:rPr>
                <w:rFonts w:ascii="Arial" w:eastAsia="等线" w:hAnsi="Arial" w:cs="Arial"/>
                <w:sz w:val="20"/>
                <w:lang w:eastAsia="en-GB"/>
              </w:rPr>
            </w:pPr>
            <w:r w:rsidRPr="0010314D">
              <w:rPr>
                <w:rFonts w:ascii="Arial" w:eastAsia="等线" w:hAnsi="Arial" w:cs="Arial"/>
                <w:sz w:val="20"/>
                <w:lang w:eastAsia="en-GB"/>
              </w:rPr>
              <w:t>RAN2 respectfully asks RAN1 to take the RAN2 agreement into account, and provide feedback in case RAN1 sees any issues and whether a new FG for it needs to be defined</w:t>
            </w:r>
            <w:r w:rsidRPr="0010314D">
              <w:rPr>
                <w:rFonts w:ascii="Arial" w:eastAsia="等线" w:hAnsi="Arial" w:cs="Arial" w:hint="eastAsia"/>
                <w:sz w:val="20"/>
                <w:lang w:eastAsia="en-GB"/>
              </w:rPr>
              <w:t>.</w:t>
            </w:r>
          </w:p>
        </w:tc>
      </w:tr>
    </w:tbl>
    <w:p w14:paraId="40A4C17D" w14:textId="2684C744" w:rsidR="00796DC5" w:rsidRPr="00796DC5" w:rsidRDefault="00796DC5" w:rsidP="00796DC5">
      <w:pPr>
        <w:spacing w:after="0"/>
        <w:rPr>
          <w:bCs/>
          <w:sz w:val="20"/>
          <w:szCs w:val="20"/>
        </w:rPr>
      </w:pPr>
    </w:p>
    <w:p w14:paraId="33FE7400" w14:textId="353B8701" w:rsidR="00796DC5" w:rsidRPr="00425248" w:rsidRDefault="00796DC5" w:rsidP="00425248">
      <w:pPr>
        <w:pStyle w:val="a3"/>
        <w:rPr>
          <w:rFonts w:cs="Arial"/>
          <w:sz w:val="22"/>
          <w:szCs w:val="22"/>
        </w:rPr>
      </w:pPr>
      <w:r w:rsidRPr="00505D19">
        <w:rPr>
          <w:rFonts w:cs="Arial"/>
          <w:sz w:val="22"/>
          <w:szCs w:val="22"/>
        </w:rPr>
        <w:t xml:space="preserve">In this contribution, we discuss </w:t>
      </w:r>
      <w:r w:rsidR="00C83C2F" w:rsidRPr="00505D19">
        <w:rPr>
          <w:rFonts w:cs="Arial"/>
          <w:sz w:val="22"/>
          <w:szCs w:val="22"/>
        </w:rPr>
        <w:t>and pres</w:t>
      </w:r>
      <w:r w:rsidR="003B7FE4">
        <w:rPr>
          <w:rFonts w:cs="Arial"/>
          <w:sz w:val="22"/>
          <w:szCs w:val="22"/>
        </w:rPr>
        <w:t>ent our views on this issue</w:t>
      </w:r>
      <w:r w:rsidR="00C83C2F" w:rsidRPr="00505D19">
        <w:rPr>
          <w:rFonts w:cs="Arial"/>
          <w:sz w:val="22"/>
          <w:szCs w:val="22"/>
        </w:rPr>
        <w:t>.</w:t>
      </w:r>
    </w:p>
    <w:p w14:paraId="76078626" w14:textId="712522D9" w:rsidR="00E151C6" w:rsidRPr="005909D4" w:rsidRDefault="007C2BDF" w:rsidP="005909D4">
      <w:pPr>
        <w:pStyle w:val="1"/>
        <w:rPr>
          <w:lang w:eastAsia="zh-CN"/>
        </w:rPr>
      </w:pPr>
      <w:r>
        <w:rPr>
          <w:rFonts w:hint="eastAsia"/>
          <w:lang w:eastAsia="zh-CN"/>
        </w:rPr>
        <w:t>Discussion</w:t>
      </w:r>
    </w:p>
    <w:p w14:paraId="3A95A4DB" w14:textId="1A4304FF" w:rsidR="003B7FE4" w:rsidRDefault="003B7FE4"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RAN1#107</w:t>
      </w:r>
      <w:r>
        <w:rPr>
          <w:rFonts w:eastAsiaTheme="minorEastAsia" w:hint="eastAsia"/>
          <w:sz w:val="22"/>
          <w:lang w:val="en-US" w:eastAsia="zh-CN"/>
        </w:rPr>
        <w:t>b</w:t>
      </w:r>
      <w:r>
        <w:rPr>
          <w:rFonts w:eastAsiaTheme="minorEastAsia"/>
          <w:sz w:val="22"/>
          <w:lang w:val="en-US" w:eastAsia="zh-CN"/>
        </w:rPr>
        <w:t>-e meeting</w:t>
      </w:r>
      <w:r w:rsidR="00EF2658">
        <w:rPr>
          <w:rFonts w:eastAsiaTheme="minorEastAsia"/>
          <w:sz w:val="22"/>
          <w:lang w:val="en-US" w:eastAsia="zh-CN"/>
        </w:rPr>
        <w:t xml:space="preserve"> [2]</w:t>
      </w:r>
      <w:r>
        <w:rPr>
          <w:rFonts w:eastAsiaTheme="minorEastAsia"/>
          <w:sz w:val="22"/>
          <w:lang w:val="en-US" w:eastAsia="zh-CN"/>
        </w:rPr>
        <w:t xml:space="preserve">, we have the following agreement on MBS multicast reception on Scell. </w:t>
      </w:r>
      <w:r w:rsidR="00EF2658">
        <w:rPr>
          <w:rFonts w:eastAsiaTheme="minorEastAsia"/>
          <w:sz w:val="22"/>
          <w:lang w:val="en-US" w:eastAsia="zh-CN"/>
        </w:rPr>
        <w:t>In addition, to alleviate UE</w:t>
      </w:r>
      <w:r w:rsidR="001D56B4">
        <w:rPr>
          <w:rFonts w:eastAsiaTheme="minorEastAsia"/>
          <w:sz w:val="22"/>
          <w:lang w:val="en-US" w:eastAsia="zh-CN"/>
        </w:rPr>
        <w:t xml:space="preserve">’s complexity, there is one </w:t>
      </w:r>
      <w:r w:rsidR="00EF2658">
        <w:rPr>
          <w:rFonts w:eastAsiaTheme="minorEastAsia"/>
          <w:sz w:val="22"/>
          <w:lang w:val="en-US" w:eastAsia="zh-CN"/>
        </w:rPr>
        <w:t>restriction shown as the highlighted part below.</w:t>
      </w:r>
    </w:p>
    <w:tbl>
      <w:tblPr>
        <w:tblStyle w:val="ae"/>
        <w:tblW w:w="0" w:type="auto"/>
        <w:tblLook w:val="04A0" w:firstRow="1" w:lastRow="0" w:firstColumn="1" w:lastColumn="0" w:noHBand="0" w:noVBand="1"/>
      </w:tblPr>
      <w:tblGrid>
        <w:gridCol w:w="9307"/>
      </w:tblGrid>
      <w:tr w:rsidR="003B7FE4" w14:paraId="12A5DF03" w14:textId="77777777" w:rsidTr="003B7FE4">
        <w:tc>
          <w:tcPr>
            <w:tcW w:w="9307" w:type="dxa"/>
          </w:tcPr>
          <w:p w14:paraId="006932DC" w14:textId="77777777" w:rsidR="003B7FE4" w:rsidRPr="001820A8" w:rsidRDefault="003B7FE4" w:rsidP="003B7FE4">
            <w:pPr>
              <w:rPr>
                <w:b/>
                <w:bCs/>
              </w:rPr>
            </w:pPr>
            <w:r w:rsidRPr="00CD389F">
              <w:rPr>
                <w:b/>
                <w:bCs/>
                <w:highlight w:val="green"/>
              </w:rPr>
              <w:t>Agreement</w:t>
            </w:r>
          </w:p>
          <w:p w14:paraId="5ED0E14F" w14:textId="77777777" w:rsidR="003B7FE4" w:rsidRDefault="003B7FE4" w:rsidP="003B7FE4">
            <w:pPr>
              <w:rPr>
                <w:lang w:eastAsia="x-none"/>
              </w:rPr>
            </w:pPr>
            <w:r>
              <w:rPr>
                <w:lang w:eastAsia="x-none"/>
              </w:rPr>
              <w:t>If UE supports carrier aggregation for unicast, multicast reception on an activated SCell with self-scheduling is supported subject to UE capability in Rel-17.</w:t>
            </w:r>
          </w:p>
          <w:p w14:paraId="0E60872B" w14:textId="77777777" w:rsidR="003B7FE4" w:rsidRPr="003B7FE4" w:rsidRDefault="003B7FE4" w:rsidP="003B7FE4">
            <w:pPr>
              <w:pStyle w:val="af3"/>
              <w:numPr>
                <w:ilvl w:val="1"/>
                <w:numId w:val="15"/>
              </w:numPr>
              <w:overflowPunct w:val="0"/>
              <w:snapToGrid/>
              <w:ind w:firstLineChars="0"/>
              <w:contextualSpacing/>
              <w:jc w:val="left"/>
              <w:textAlignment w:val="baseline"/>
              <w:rPr>
                <w:highlight w:val="yellow"/>
                <w:lang w:eastAsia="zh-CN"/>
              </w:rPr>
            </w:pPr>
            <w:r w:rsidRPr="003B7FE4">
              <w:rPr>
                <w:highlight w:val="yellow"/>
                <w:lang w:eastAsia="zh-CN"/>
              </w:rPr>
              <w:t>UE is not expected to be configured simultaneously with more than one component carrier for multicast reception.</w:t>
            </w:r>
          </w:p>
          <w:p w14:paraId="282E3AF7" w14:textId="77777777" w:rsidR="003B7FE4" w:rsidRPr="00766338" w:rsidRDefault="003B7FE4" w:rsidP="003B7FE4">
            <w:pPr>
              <w:pStyle w:val="af3"/>
              <w:numPr>
                <w:ilvl w:val="1"/>
                <w:numId w:val="15"/>
              </w:numPr>
              <w:overflowPunct w:val="0"/>
              <w:snapToGrid/>
              <w:ind w:firstLineChars="0"/>
              <w:contextualSpacing/>
              <w:jc w:val="left"/>
              <w:textAlignment w:val="baseline"/>
              <w:rPr>
                <w:lang w:eastAsia="zh-CN"/>
              </w:rPr>
            </w:pPr>
            <w:r w:rsidRPr="00766338">
              <w:rPr>
                <w:lang w:eastAsia="zh-CN"/>
              </w:rPr>
              <w:t>Cross-carrier scheduling for multicast reception is not supported in Rel-17.</w:t>
            </w:r>
          </w:p>
          <w:p w14:paraId="1098CE01" w14:textId="77777777" w:rsidR="003B7FE4" w:rsidRPr="00766338" w:rsidRDefault="003B7FE4" w:rsidP="003B7FE4">
            <w:pPr>
              <w:pStyle w:val="af3"/>
              <w:numPr>
                <w:ilvl w:val="1"/>
                <w:numId w:val="15"/>
              </w:numPr>
              <w:overflowPunct w:val="0"/>
              <w:snapToGrid/>
              <w:ind w:firstLineChars="0"/>
              <w:contextualSpacing/>
              <w:jc w:val="left"/>
              <w:textAlignment w:val="baseline"/>
              <w:rPr>
                <w:lang w:eastAsia="zh-CN"/>
              </w:rPr>
            </w:pPr>
            <w:r w:rsidRPr="00766338">
              <w:rPr>
                <w:lang w:eastAsia="zh-CN"/>
              </w:rPr>
              <w:t>The capability of supporting MBS multicast on SCell is a separate capability from the CA capability for unicast.</w:t>
            </w:r>
          </w:p>
          <w:p w14:paraId="0BDF5AAA" w14:textId="3D8C79D1" w:rsidR="003B7FE4" w:rsidRPr="003B7FE4" w:rsidRDefault="003B7FE4" w:rsidP="003B7FE4">
            <w:pPr>
              <w:pStyle w:val="af3"/>
              <w:numPr>
                <w:ilvl w:val="1"/>
                <w:numId w:val="14"/>
              </w:numPr>
              <w:overflowPunct w:val="0"/>
              <w:autoSpaceDE/>
              <w:autoSpaceDN/>
              <w:adjustRightInd/>
              <w:snapToGrid/>
              <w:spacing w:after="0"/>
              <w:ind w:firstLineChars="0"/>
              <w:contextualSpacing/>
              <w:jc w:val="left"/>
              <w:textAlignment w:val="baseline"/>
              <w:rPr>
                <w:lang w:eastAsia="zh-CN"/>
              </w:rPr>
            </w:pPr>
            <w:r w:rsidRPr="00766338">
              <w:rPr>
                <w:lang w:eastAsia="zh-CN"/>
              </w:rPr>
              <w:t>The granularity of UE reporting the capability of supporting MBS multicast reception is per FSPC</w:t>
            </w:r>
          </w:p>
        </w:tc>
      </w:tr>
    </w:tbl>
    <w:p w14:paraId="73F661A7" w14:textId="6A65AFEC" w:rsidR="003B7FE4" w:rsidRDefault="00E9700A"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Thus, in our understanding, it is fine to configure SPS multicast PDSCH on Scell if UE supporting multicast reception on Scell, and there is no issue if both </w:t>
      </w:r>
      <w:r w:rsidR="003B7FE4">
        <w:rPr>
          <w:rFonts w:eastAsiaTheme="minorEastAsia"/>
          <w:sz w:val="22"/>
          <w:lang w:val="en-US" w:eastAsia="zh-CN"/>
        </w:rPr>
        <w:t xml:space="preserve">dynamic multicast PDSCH reception and SPS multicast PDSCH </w:t>
      </w:r>
      <w:r>
        <w:rPr>
          <w:rFonts w:eastAsiaTheme="minorEastAsia"/>
          <w:sz w:val="22"/>
          <w:lang w:val="en-US" w:eastAsia="zh-CN"/>
        </w:rPr>
        <w:t xml:space="preserve">reception are </w:t>
      </w:r>
      <w:r w:rsidR="003B7FE4">
        <w:rPr>
          <w:rFonts w:eastAsiaTheme="minorEastAsia"/>
          <w:sz w:val="22"/>
          <w:lang w:val="en-US" w:eastAsia="zh-CN"/>
        </w:rPr>
        <w:t>configured in the same cell, either Pcell or one Scell.</w:t>
      </w:r>
    </w:p>
    <w:p w14:paraId="775215F4" w14:textId="41A21F54" w:rsidR="003B7FE4" w:rsidRDefault="00EF2658"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Since we have already introduced FG33-2 for dynamic multicast reception in Pcell, FG22-2h for dynamic multicast reception in Scell and FG33-5-1 for SPS group-common PDSCH reception [3], from our side, we have not seen any necessarity to introduce new FG on SPS group-common PDSCH reception on Scell. There is no additional UE complexity and operations on SPS group-common PDSCH reception on Scell, when UE has supported FG33-2, FG33-2h, and FG33-5-1.</w:t>
      </w:r>
    </w:p>
    <w:p w14:paraId="66C406E7" w14:textId="77777777" w:rsidR="00EF2658" w:rsidRPr="00A900EE" w:rsidRDefault="00EF2658" w:rsidP="00846C39">
      <w:pPr>
        <w:pStyle w:val="0Maintext"/>
        <w:spacing w:after="120" w:afterAutospacing="0" w:line="240" w:lineRule="auto"/>
        <w:ind w:firstLine="0"/>
        <w:rPr>
          <w:rFonts w:eastAsiaTheme="minorEastAsia"/>
          <w:sz w:val="22"/>
          <w:lang w:val="en-US" w:eastAsia="zh-CN"/>
        </w:rPr>
      </w:pPr>
    </w:p>
    <w:p w14:paraId="53B33F0C" w14:textId="2715C572" w:rsidR="00AB13A6" w:rsidRPr="00E9700A" w:rsidRDefault="00E9700A" w:rsidP="00846C39">
      <w:pPr>
        <w:pStyle w:val="0Maintext"/>
        <w:spacing w:after="120" w:afterAutospacing="0" w:line="240" w:lineRule="auto"/>
        <w:ind w:firstLine="0"/>
        <w:rPr>
          <w:rFonts w:eastAsiaTheme="minorEastAsia"/>
          <w:b/>
          <w:i/>
          <w:sz w:val="22"/>
          <w:lang w:val="en-US" w:eastAsia="zh-CN"/>
        </w:rPr>
      </w:pPr>
      <w:r w:rsidRPr="00E9700A">
        <w:rPr>
          <w:rFonts w:eastAsiaTheme="minorEastAsia"/>
          <w:b/>
          <w:i/>
          <w:sz w:val="22"/>
          <w:lang w:val="en-US" w:eastAsia="zh-CN"/>
        </w:rPr>
        <w:lastRenderedPageBreak/>
        <w:t>Observation</w:t>
      </w:r>
      <w:r w:rsidR="003B466F">
        <w:rPr>
          <w:rFonts w:eastAsiaTheme="minorEastAsia"/>
          <w:b/>
          <w:i/>
          <w:sz w:val="22"/>
          <w:lang w:val="en-US" w:eastAsia="zh-CN"/>
        </w:rPr>
        <w:t xml:space="preserve"> 1: </w:t>
      </w:r>
      <w:r>
        <w:rPr>
          <w:rFonts w:eastAsiaTheme="minorEastAsia"/>
          <w:b/>
          <w:i/>
          <w:sz w:val="22"/>
          <w:lang w:val="en-US" w:eastAsia="zh-CN"/>
        </w:rPr>
        <w:t>Regarding RAN2 agreements,</w:t>
      </w:r>
      <w:r w:rsidR="001D56B4">
        <w:rPr>
          <w:rFonts w:eastAsiaTheme="minorEastAsia"/>
          <w:b/>
          <w:i/>
          <w:sz w:val="22"/>
          <w:lang w:val="en-US" w:eastAsia="zh-CN"/>
        </w:rPr>
        <w:t xml:space="preserve"> we have not seen any issue. N</w:t>
      </w:r>
      <w:r>
        <w:rPr>
          <w:rFonts w:eastAsiaTheme="minorEastAsia"/>
          <w:b/>
          <w:i/>
          <w:sz w:val="22"/>
          <w:lang w:val="en-US" w:eastAsia="zh-CN"/>
        </w:rPr>
        <w:t>ew FG</w:t>
      </w:r>
      <w:r w:rsidR="00EF2658">
        <w:rPr>
          <w:rFonts w:eastAsiaTheme="minorEastAsia"/>
          <w:b/>
          <w:i/>
          <w:sz w:val="22"/>
          <w:lang w:val="en-US" w:eastAsia="zh-CN"/>
        </w:rPr>
        <w:t xml:space="preserve"> on </w:t>
      </w:r>
      <w:r w:rsidR="00EF2658" w:rsidRPr="00EF2658">
        <w:rPr>
          <w:rFonts w:eastAsiaTheme="minorEastAsia"/>
          <w:b/>
          <w:i/>
          <w:sz w:val="22"/>
          <w:lang w:val="en-US" w:eastAsia="zh-CN"/>
        </w:rPr>
        <w:t>MBS SPS for Multicast</w:t>
      </w:r>
      <w:r>
        <w:rPr>
          <w:rFonts w:eastAsiaTheme="minorEastAsia"/>
          <w:b/>
          <w:i/>
          <w:sz w:val="22"/>
          <w:lang w:val="en-US" w:eastAsia="zh-CN"/>
        </w:rPr>
        <w:t xml:space="preserve"> </w:t>
      </w:r>
      <w:r w:rsidR="00EF2658">
        <w:rPr>
          <w:rFonts w:eastAsiaTheme="minorEastAsia"/>
          <w:b/>
          <w:i/>
          <w:sz w:val="22"/>
          <w:lang w:val="en-US" w:eastAsia="zh-CN"/>
        </w:rPr>
        <w:t>is</w:t>
      </w:r>
      <w:r>
        <w:rPr>
          <w:rFonts w:eastAsiaTheme="minorEastAsia"/>
          <w:b/>
          <w:i/>
          <w:sz w:val="22"/>
          <w:lang w:val="en-US" w:eastAsia="zh-CN"/>
        </w:rPr>
        <w:t xml:space="preserve"> not needed</w:t>
      </w:r>
      <w:r w:rsidR="003B466F" w:rsidRPr="00801BC0">
        <w:rPr>
          <w:rFonts w:eastAsiaTheme="minorEastAsia"/>
          <w:b/>
          <w:i/>
          <w:sz w:val="22"/>
          <w:lang w:val="en-US" w:eastAsia="zh-CN"/>
        </w:rPr>
        <w:t>.</w:t>
      </w:r>
    </w:p>
    <w:p w14:paraId="58E17BCE" w14:textId="1A7904B8" w:rsidR="00B11527" w:rsidRPr="00E42614" w:rsidRDefault="00B11527" w:rsidP="00846C39">
      <w:pPr>
        <w:pStyle w:val="0Maintext"/>
        <w:spacing w:after="120" w:afterAutospacing="0" w:line="240" w:lineRule="auto"/>
        <w:ind w:firstLine="0"/>
        <w:rPr>
          <w:rFonts w:eastAsiaTheme="minorEastAsia"/>
          <w:sz w:val="22"/>
          <w:lang w:val="en-US" w:eastAsia="zh-CN"/>
        </w:rPr>
      </w:pPr>
    </w:p>
    <w:p w14:paraId="16E1DA0F" w14:textId="77777777" w:rsidR="007C2BDF" w:rsidRDefault="007C2BDF" w:rsidP="000B47B8">
      <w:pPr>
        <w:pStyle w:val="1"/>
        <w:rPr>
          <w:lang w:eastAsia="zh-CN"/>
        </w:rPr>
      </w:pPr>
      <w:r>
        <w:rPr>
          <w:lang w:eastAsia="zh-CN"/>
        </w:rPr>
        <w:t xml:space="preserve">Conclusion </w:t>
      </w:r>
    </w:p>
    <w:p w14:paraId="3ADE4E11" w14:textId="51665E18" w:rsidR="00985415" w:rsidRDefault="007C2BDF" w:rsidP="005B5733">
      <w:pPr>
        <w:rPr>
          <w:lang w:eastAsia="zh-CN"/>
        </w:rPr>
      </w:pPr>
      <w:r w:rsidRPr="0020632D">
        <w:rPr>
          <w:lang w:eastAsia="zh-CN"/>
        </w:rPr>
        <w:t>In this contribution, we provide our opinions on</w:t>
      </w:r>
      <w:r w:rsidR="003A45F4">
        <w:rPr>
          <w:lang w:eastAsia="zh-CN"/>
        </w:rPr>
        <w:t xml:space="preserve"> </w:t>
      </w:r>
      <w:r w:rsidR="00590A0C">
        <w:rPr>
          <w:lang w:eastAsia="zh-CN"/>
        </w:rPr>
        <w:t>HARQ process</w:t>
      </w:r>
      <w:r w:rsidR="00C823BC">
        <w:rPr>
          <w:rFonts w:cs="Arial"/>
        </w:rPr>
        <w:t xml:space="preserve"> for MCCH and MTCHs</w:t>
      </w:r>
      <w:r w:rsidR="00985415">
        <w:rPr>
          <w:lang w:eastAsia="zh-CN"/>
        </w:rPr>
        <w:t>.</w:t>
      </w:r>
    </w:p>
    <w:p w14:paraId="70E1A3E8" w14:textId="6C9C78F0" w:rsidR="00EF2658" w:rsidRPr="00E9700A" w:rsidRDefault="00EF2658" w:rsidP="00EF2658">
      <w:pPr>
        <w:pStyle w:val="0Maintext"/>
        <w:spacing w:after="120" w:afterAutospacing="0" w:line="240" w:lineRule="auto"/>
        <w:ind w:firstLine="0"/>
        <w:rPr>
          <w:rFonts w:eastAsiaTheme="minorEastAsia"/>
          <w:b/>
          <w:i/>
          <w:sz w:val="22"/>
          <w:lang w:val="en-US" w:eastAsia="zh-CN"/>
        </w:rPr>
      </w:pPr>
      <w:r w:rsidRPr="00E9700A">
        <w:rPr>
          <w:rFonts w:eastAsiaTheme="minorEastAsia"/>
          <w:b/>
          <w:i/>
          <w:sz w:val="22"/>
          <w:lang w:val="en-US" w:eastAsia="zh-CN"/>
        </w:rPr>
        <w:t>Observation</w:t>
      </w:r>
      <w:r>
        <w:rPr>
          <w:rFonts w:eastAsiaTheme="minorEastAsia"/>
          <w:b/>
          <w:i/>
          <w:sz w:val="22"/>
          <w:lang w:val="en-US" w:eastAsia="zh-CN"/>
        </w:rPr>
        <w:t xml:space="preserve"> 1: Regarding RAN2 agreeme</w:t>
      </w:r>
      <w:r w:rsidR="001D56B4">
        <w:rPr>
          <w:rFonts w:eastAsiaTheme="minorEastAsia"/>
          <w:b/>
          <w:i/>
          <w:sz w:val="22"/>
          <w:lang w:val="en-US" w:eastAsia="zh-CN"/>
        </w:rPr>
        <w:t xml:space="preserve">nts, we have not seen any issue. New </w:t>
      </w:r>
      <w:r>
        <w:rPr>
          <w:rFonts w:eastAsiaTheme="minorEastAsia"/>
          <w:b/>
          <w:i/>
          <w:sz w:val="22"/>
          <w:lang w:val="en-US" w:eastAsia="zh-CN"/>
        </w:rPr>
        <w:t xml:space="preserve">FG on </w:t>
      </w:r>
      <w:r w:rsidRPr="00EF2658">
        <w:rPr>
          <w:rFonts w:eastAsiaTheme="minorEastAsia"/>
          <w:b/>
          <w:i/>
          <w:sz w:val="22"/>
          <w:lang w:val="en-US" w:eastAsia="zh-CN"/>
        </w:rPr>
        <w:t>MBS SPS for Multicast</w:t>
      </w:r>
      <w:r>
        <w:rPr>
          <w:rFonts w:eastAsiaTheme="minorEastAsia"/>
          <w:b/>
          <w:i/>
          <w:sz w:val="22"/>
          <w:lang w:val="en-US" w:eastAsia="zh-CN"/>
        </w:rPr>
        <w:t xml:space="preserve"> is not needed</w:t>
      </w:r>
      <w:r w:rsidRPr="00801BC0">
        <w:rPr>
          <w:rFonts w:eastAsiaTheme="minorEastAsia"/>
          <w:b/>
          <w:i/>
          <w:sz w:val="22"/>
          <w:lang w:val="en-US" w:eastAsia="zh-CN"/>
        </w:rPr>
        <w:t>.</w:t>
      </w:r>
    </w:p>
    <w:p w14:paraId="40BC692E" w14:textId="77777777" w:rsidR="007D4F71" w:rsidRPr="00EF2658" w:rsidRDefault="007D4F71"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26A821B7" w14:textId="0DFA31EF" w:rsidR="005255D4" w:rsidRPr="007D4F71" w:rsidRDefault="00EF2658" w:rsidP="00EF2658">
      <w:pPr>
        <w:pStyle w:val="af3"/>
        <w:numPr>
          <w:ilvl w:val="0"/>
          <w:numId w:val="8"/>
        </w:numPr>
        <w:ind w:firstLineChars="0"/>
        <w:rPr>
          <w:rFonts w:eastAsia="宋体"/>
          <w:bCs/>
        </w:rPr>
      </w:pPr>
      <w:r>
        <w:rPr>
          <w:rFonts w:eastAsia="宋体"/>
          <w:bCs/>
        </w:rPr>
        <w:t>R1-2205733</w:t>
      </w:r>
      <w:r w:rsidR="00985415" w:rsidRPr="00BD5DA3">
        <w:rPr>
          <w:rFonts w:eastAsia="宋体"/>
          <w:bCs/>
        </w:rPr>
        <w:t>, “</w:t>
      </w:r>
      <w:r w:rsidRPr="00EF2658">
        <w:rPr>
          <w:rFonts w:eastAsia="宋体"/>
          <w:bCs/>
        </w:rPr>
        <w:t>MBS SPS configuration on Scell</w:t>
      </w:r>
      <w:r w:rsidR="00985415" w:rsidRPr="00BD5DA3">
        <w:rPr>
          <w:rFonts w:eastAsia="宋体"/>
          <w:bCs/>
        </w:rPr>
        <w:t>”,</w:t>
      </w:r>
      <w:r w:rsidR="007D4F71">
        <w:rPr>
          <w:rFonts w:eastAsia="宋体"/>
          <w:bCs/>
        </w:rPr>
        <w:t xml:space="preserve"> </w:t>
      </w:r>
      <w:r>
        <w:rPr>
          <w:rFonts w:eastAsia="宋体"/>
          <w:bCs/>
        </w:rPr>
        <w:t>RAN2, OPPO</w:t>
      </w:r>
    </w:p>
    <w:p w14:paraId="0CACC45B" w14:textId="77777777" w:rsidR="00EF2658" w:rsidRDefault="007D4F71" w:rsidP="00EF2658">
      <w:pPr>
        <w:pStyle w:val="References"/>
        <w:numPr>
          <w:ilvl w:val="0"/>
          <w:numId w:val="8"/>
        </w:numPr>
        <w:jc w:val="both"/>
        <w:rPr>
          <w:rFonts w:eastAsia="宋体"/>
          <w:bCs/>
          <w:sz w:val="22"/>
          <w:szCs w:val="22"/>
        </w:rPr>
      </w:pPr>
      <w:r w:rsidRPr="007D4F71">
        <w:rPr>
          <w:rFonts w:eastAsia="宋体"/>
          <w:bCs/>
          <w:sz w:val="22"/>
          <w:szCs w:val="22"/>
        </w:rPr>
        <w:t>RAN1 Chairman’s Notes, RAN1#107</w:t>
      </w:r>
      <w:r w:rsidR="00AB13A6">
        <w:rPr>
          <w:rFonts w:eastAsia="宋体"/>
          <w:bCs/>
          <w:sz w:val="22"/>
          <w:szCs w:val="22"/>
        </w:rPr>
        <w:t>b</w:t>
      </w:r>
      <w:r w:rsidRPr="007D4F71">
        <w:rPr>
          <w:rFonts w:eastAsia="宋体"/>
          <w:bCs/>
          <w:sz w:val="22"/>
          <w:szCs w:val="22"/>
        </w:rPr>
        <w:t>-e, e-Meeting</w:t>
      </w:r>
    </w:p>
    <w:p w14:paraId="164D62E7" w14:textId="48A2CB5A" w:rsidR="00EF2658" w:rsidRPr="00EF2658" w:rsidRDefault="00EF2658" w:rsidP="00EF2658">
      <w:pPr>
        <w:pStyle w:val="af3"/>
        <w:numPr>
          <w:ilvl w:val="0"/>
          <w:numId w:val="8"/>
        </w:numPr>
        <w:ind w:firstLineChars="0"/>
        <w:rPr>
          <w:rFonts w:eastAsia="宋体"/>
          <w:bCs/>
        </w:rPr>
      </w:pPr>
      <w:r w:rsidRPr="00EF2658">
        <w:rPr>
          <w:rFonts w:eastAsia="宋体"/>
          <w:bCs/>
        </w:rPr>
        <w:t xml:space="preserve">R1-2205607, </w:t>
      </w:r>
      <w:r>
        <w:rPr>
          <w:rFonts w:eastAsia="宋体"/>
          <w:bCs/>
        </w:rPr>
        <w:t>“</w:t>
      </w:r>
      <w:r w:rsidRPr="00EF2658">
        <w:rPr>
          <w:rFonts w:eastAsia="宋体"/>
          <w:bCs/>
        </w:rPr>
        <w:t>Updated RAN1 UE features list for Rel-17 NR after RAN1 #109-e Week2</w:t>
      </w:r>
      <w:r>
        <w:rPr>
          <w:rFonts w:eastAsia="宋体"/>
          <w:bCs/>
        </w:rPr>
        <w:t>”</w:t>
      </w:r>
      <w:r w:rsidRPr="00EF2658">
        <w:rPr>
          <w:rFonts w:eastAsia="宋体" w:hint="eastAsia"/>
          <w:bCs/>
        </w:rPr>
        <w:t>,</w:t>
      </w:r>
      <w:r w:rsidRPr="00EF2658">
        <w:rPr>
          <w:rFonts w:eastAsia="宋体"/>
          <w:bCs/>
        </w:rPr>
        <w:t xml:space="preserve"> AT&amp;T, N</w:t>
      </w:r>
      <w:r>
        <w:rPr>
          <w:rFonts w:eastAsia="宋体"/>
          <w:bCs/>
        </w:rPr>
        <w:t>TT DOCOMO</w:t>
      </w:r>
      <w:bookmarkStart w:id="2" w:name="_GoBack"/>
      <w:bookmarkEnd w:id="2"/>
    </w:p>
    <w:sectPr w:rsidR="00EF2658" w:rsidRPr="00EF26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05422" w14:textId="77777777" w:rsidR="009054FE" w:rsidRDefault="009054FE">
      <w:r>
        <w:separator/>
      </w:r>
    </w:p>
  </w:endnote>
  <w:endnote w:type="continuationSeparator" w:id="0">
    <w:p w14:paraId="0E9B5418" w14:textId="77777777" w:rsidR="009054FE" w:rsidRDefault="0090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11FDF" w14:textId="77777777" w:rsidR="009054FE" w:rsidRDefault="009054FE">
      <w:r>
        <w:separator/>
      </w:r>
    </w:p>
  </w:footnote>
  <w:footnote w:type="continuationSeparator" w:id="0">
    <w:p w14:paraId="09E30872" w14:textId="77777777" w:rsidR="009054FE" w:rsidRDefault="00905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2A6D6189"/>
    <w:multiLevelType w:val="hybridMultilevel"/>
    <w:tmpl w:val="19FEAD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5A489CA">
      <w:numFmt w:val="bullet"/>
      <w:lvlText w:val=""/>
      <w:lvlJc w:val="left"/>
      <w:pPr>
        <w:ind w:left="3600" w:hanging="360"/>
      </w:pPr>
      <w:rPr>
        <w:rFonts w:ascii="Wingdings" w:eastAsiaTheme="minorEastAsia" w:hAnsi="Wingdings"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62B3261C"/>
    <w:multiLevelType w:val="hybridMultilevel"/>
    <w:tmpl w:val="8854A062"/>
    <w:lvl w:ilvl="0" w:tplc="A08A40E8">
      <w:start w:val="8"/>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7"/>
  </w:num>
  <w:num w:numId="6">
    <w:abstractNumId w:val="5"/>
  </w:num>
  <w:num w:numId="7">
    <w:abstractNumId w:val="13"/>
  </w:num>
  <w:num w:numId="8">
    <w:abstractNumId w:val="0"/>
  </w:num>
  <w:num w:numId="9">
    <w:abstractNumId w:val="10"/>
  </w:num>
  <w:num w:numId="10">
    <w:abstractNumId w:val="6"/>
  </w:num>
  <w:num w:numId="11">
    <w:abstractNumId w:val="3"/>
  </w:num>
  <w:num w:numId="12">
    <w:abstractNumId w:val="8"/>
  </w:num>
  <w:num w:numId="13">
    <w:abstractNumId w:val="9"/>
  </w:num>
  <w:num w:numId="14">
    <w:abstractNumId w:val="1"/>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6"/>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07"/>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41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6B4"/>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7C9"/>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3E64"/>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0C0"/>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44A"/>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2AA"/>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66F"/>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B7FE4"/>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82F"/>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48"/>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D19"/>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0C"/>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733"/>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6A6"/>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059"/>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062"/>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6DC5"/>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0C6"/>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4F71"/>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6DC"/>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BC0"/>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B2"/>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56C"/>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D38"/>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F19"/>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4FE"/>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845"/>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415"/>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57D3"/>
    <w:rsid w:val="00A05B9B"/>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2E03"/>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0EE"/>
    <w:rsid w:val="00A902BE"/>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4E2"/>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3A6"/>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B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3650"/>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54E"/>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32E"/>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5DA3"/>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3A"/>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410"/>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6F8B"/>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3BC"/>
    <w:rsid w:val="00C82AEE"/>
    <w:rsid w:val="00C82CE5"/>
    <w:rsid w:val="00C83214"/>
    <w:rsid w:val="00C832DC"/>
    <w:rsid w:val="00C834A8"/>
    <w:rsid w:val="00C8377F"/>
    <w:rsid w:val="00C83874"/>
    <w:rsid w:val="00C838B5"/>
    <w:rsid w:val="00C83968"/>
    <w:rsid w:val="00C83C2F"/>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0C4"/>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494"/>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669"/>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17E"/>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00A"/>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739"/>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658"/>
    <w:rsid w:val="00EF28DD"/>
    <w:rsid w:val="00EF2E01"/>
    <w:rsid w:val="00EF30A3"/>
    <w:rsid w:val="00EF3107"/>
    <w:rsid w:val="00EF3DFA"/>
    <w:rsid w:val="00EF3FFB"/>
    <w:rsid w:val="00EF4170"/>
    <w:rsid w:val="00EF42D1"/>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qFormat/>
    <w:rsid w:val="00B11527"/>
    <w:pPr>
      <w:numPr>
        <w:numId w:val="9"/>
      </w:numPr>
      <w:autoSpaceDE/>
      <w:autoSpaceDN/>
      <w:adjustRightInd/>
      <w:snapToGrid/>
      <w:spacing w:before="60" w:after="0" w:line="276" w:lineRule="auto"/>
      <w:jc w:val="left"/>
    </w:pPr>
    <w:rPr>
      <w:rFonts w:ascii="Arial" w:eastAsia="MS Mincho" w:hAnsi="Arial"/>
      <w:b/>
      <w:sz w:val="20"/>
      <w:szCs w:val="24"/>
      <w:lang w:val="en-GB" w:eastAsia="en-GB"/>
    </w:rPr>
  </w:style>
  <w:style w:type="paragraph" w:styleId="aff2">
    <w:name w:val="Intense Quote"/>
    <w:basedOn w:val="a"/>
    <w:next w:val="a"/>
    <w:link w:val="aff3"/>
    <w:uiPriority w:val="30"/>
    <w:qFormat/>
    <w:rsid w:val="007D4F7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7D4F71"/>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97349-57AB-47BB-A1DC-0795642F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180</cp:revision>
  <cp:lastPrinted>2015-03-27T14:25:00Z</cp:lastPrinted>
  <dcterms:created xsi:type="dcterms:W3CDTF">2021-04-04T15:20:00Z</dcterms:created>
  <dcterms:modified xsi:type="dcterms:W3CDTF">2022-08-08T10:08:00Z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